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8651" w14:textId="77777777" w:rsidR="00C14013" w:rsidRDefault="00C14013" w:rsidP="00C14013">
      <w:pPr>
        <w:pStyle w:val="Ttulo"/>
      </w:pPr>
      <w:r>
        <w:rPr>
          <w:noProof/>
        </w:rPr>
        <w:drawing>
          <wp:inline distT="0" distB="0" distL="0" distR="0" wp14:anchorId="5B00263E" wp14:editId="2FC7FE0D">
            <wp:extent cx="2310380" cy="1430804"/>
            <wp:effectExtent l="0" t="0" r="0" b="0"/>
            <wp:docPr id="15" name="Imagen 15" descr="cid:image004.pn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cid:image004.png@01D5CA2A.F548E5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4364" cy="1433272"/>
                    </a:xfrm>
                    <a:prstGeom prst="rect">
                      <a:avLst/>
                    </a:prstGeom>
                    <a:noFill/>
                    <a:ln>
                      <a:noFill/>
                    </a:ln>
                  </pic:spPr>
                </pic:pic>
              </a:graphicData>
            </a:graphic>
          </wp:inline>
        </w:drawing>
      </w:r>
      <w:r>
        <w:t xml:space="preserve"> </w:t>
      </w:r>
      <w:r>
        <w:rPr>
          <w:noProof/>
        </w:rPr>
        <w:drawing>
          <wp:inline distT="0" distB="0" distL="0" distR="0" wp14:anchorId="266A1749" wp14:editId="4F0C07D6">
            <wp:extent cx="2914559" cy="893183"/>
            <wp:effectExtent l="0" t="0" r="635"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095" cy="901622"/>
                    </a:xfrm>
                    <a:prstGeom prst="rect">
                      <a:avLst/>
                    </a:prstGeom>
                    <a:noFill/>
                    <a:ln>
                      <a:noFill/>
                    </a:ln>
                  </pic:spPr>
                </pic:pic>
              </a:graphicData>
            </a:graphic>
          </wp:inline>
        </w:drawing>
      </w:r>
    </w:p>
    <w:p w14:paraId="2E3EA68C" w14:textId="77777777" w:rsidR="00C14013" w:rsidRDefault="00C14013" w:rsidP="00C14013">
      <w:pPr>
        <w:pStyle w:val="Ttulo"/>
      </w:pPr>
    </w:p>
    <w:p w14:paraId="34880986" w14:textId="77777777" w:rsidR="00C14013" w:rsidRDefault="00C14013" w:rsidP="00C14013">
      <w:pPr>
        <w:rPr>
          <w:rFonts w:ascii="Century Gothic" w:hAnsi="Century Gothic"/>
          <w:sz w:val="24"/>
          <w:szCs w:val="24"/>
        </w:rPr>
      </w:pPr>
    </w:p>
    <w:p w14:paraId="61E22A27" w14:textId="77777777" w:rsidR="00C14013" w:rsidRDefault="00C14013" w:rsidP="00C14013">
      <w:pPr>
        <w:rPr>
          <w:b/>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INFORME ENERO 2020</w:t>
      </w:r>
    </w:p>
    <w:p w14:paraId="3C77F728" w14:textId="77777777" w:rsidR="00C14013" w:rsidRDefault="00C14013" w:rsidP="00C14013">
      <w:pPr>
        <w:rPr>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517CF7"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Terminado el 2019, es tiempo de analizar su balance y valorar las principales expectativas del nuevo ejercicio. Se podría calificar el curso finalizado como complejo, lleno de peligros que no llegaron a ser determinantes, para terminar con un saldo positivo, y de significativas rentabilidades en lo referido a los mercados bursátiles.</w:t>
      </w:r>
    </w:p>
    <w:p w14:paraId="0E33FBDB"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1B827"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lo que respecta a las cifras macro, lo más significativo ha sido la constante moderación en los crecimientos de los PIB, y las preocupaciones de su posible derivación en situaciones que pudieran denominarse de recesión. Los beneficios empresariales, los bajos tipos de interés, y los estímulos del BCE, han propiciado que el ejercicio haya sido y transcurrido de “menos a más”, en cuanto a confianza y resultados.</w:t>
      </w:r>
    </w:p>
    <w:p w14:paraId="0912A7D5"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BD4D01"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Todo ello, con una alta volatilidad procedente de las incertidumbres en las relaciones comerciales </w:t>
      </w:r>
      <w:proofErr w:type="gramStart"/>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EEUU</w:t>
      </w:r>
      <w:proofErr w:type="gramEnd"/>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CHINA, con intermitencias en las amenazas de importantes cambios en las tasas arancelarias. Y, como no, por las vicisitudes en el contencioso europeo protagonizado por Gran Bretaña: el famoso BREXIT.</w:t>
      </w:r>
    </w:p>
    <w:p w14:paraId="183FE2CD"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EC983B"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98ED65"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Los datos finales de las Bolsas han demostrado su clara reacción respecto al cierre del 2018. </w:t>
      </w:r>
      <w:r w:rsidRPr="00C14013">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 IBEX 35</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terminó el 2019 como el mejor de la Bolsa española desde 2013, con una revalorización del +11.82%, siendo uno de los que reflejaron menores índices de subida. Todos los medios han destacado, entre otras muchas cifras, las siguientes:</w:t>
      </w:r>
    </w:p>
    <w:p w14:paraId="45D80CFD" w14:textId="77777777" w:rsidR="00C14013" w:rsidRDefault="00C14013" w:rsidP="00C14013">
      <w:pPr>
        <w:shd w:val="clear" w:color="auto" w:fill="FFFFFF"/>
        <w:spacing w:before="100" w:beforeAutospacing="1" w:after="120"/>
        <w:rPr>
          <w:rFonts w:ascii="Century Gothic" w:hAnsi="Century Gothic"/>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013">
        <w:rPr>
          <w:rFonts w:ascii="Century Gothic" w:hAnsi="Century Gothic"/>
          <w:b/>
          <w:bCs/>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 Eurostoxx</w:t>
      </w:r>
      <w:r>
        <w:rPr>
          <w:rFonts w:ascii="Century Gothic" w:hAnsi="Century Gothic"/>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 anota en 2019 una revalorización del 24,89%; Mientras el </w:t>
      </w:r>
      <w:proofErr w:type="spellStart"/>
      <w:r w:rsidRPr="00C14013">
        <w:rPr>
          <w:rFonts w:ascii="Century Gothic" w:hAnsi="Century Gothic"/>
          <w:b/>
          <w:bCs/>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Dax</w:t>
      </w:r>
      <w:proofErr w:type="spellEnd"/>
      <w:r>
        <w:rPr>
          <w:rFonts w:ascii="Century Gothic" w:hAnsi="Century Gothic"/>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alemán y el </w:t>
      </w:r>
      <w:proofErr w:type="spellStart"/>
      <w:r w:rsidRPr="00C14013">
        <w:rPr>
          <w:rFonts w:ascii="Century Gothic" w:hAnsi="Century Gothic"/>
          <w:b/>
          <w:bCs/>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Cac</w:t>
      </w:r>
      <w:proofErr w:type="spellEnd"/>
      <w:r>
        <w:rPr>
          <w:rFonts w:ascii="Century Gothic" w:hAnsi="Century Gothic"/>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francés superan el 26%; Y todo ello pese a la guerra comercial y la incertidumbre del Brexit. Dejando aparte la espectacularidad de los Índices en los Estados Unidos de América donde reinan los continuos máximos históricos. Veamos dos cuadros representativos.</w:t>
      </w:r>
    </w:p>
    <w:p w14:paraId="0C7722D3" w14:textId="77777777" w:rsidR="00C14013" w:rsidRDefault="00C14013" w:rsidP="00C14013">
      <w:pPr>
        <w:shd w:val="clear" w:color="auto" w:fill="FFFFFF"/>
        <w:spacing w:before="100" w:beforeAutospacing="1" w:after="120"/>
        <w:rPr>
          <w:rFonts w:ascii="Century Gothic" w:hAnsi="Century Gothic"/>
          <w:color w:val="4472C4"/>
          <w:sz w:val="24"/>
          <w:szCs w:val="24"/>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7FB51E" w14:textId="77777777" w:rsidR="00C14013" w:rsidRDefault="00C14013" w:rsidP="00C14013">
      <w:pP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543025" w14:textId="77777777" w:rsidR="00C14013" w:rsidRDefault="00C14013" w:rsidP="00C14013">
      <w:pP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inline distT="0" distB="0" distL="0" distR="0" wp14:anchorId="1B957F0D" wp14:editId="5137D530">
            <wp:extent cx="2216150" cy="462280"/>
            <wp:effectExtent l="0" t="0" r="0" b="0"/>
            <wp:docPr id="14" name="Imagen 14" descr="cid:image010.pn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10.png@01D5CA2A.F548E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6150" cy="462280"/>
                    </a:xfrm>
                    <a:prstGeom prst="rect">
                      <a:avLst/>
                    </a:prstGeom>
                    <a:noFill/>
                    <a:ln>
                      <a:noFill/>
                    </a:ln>
                  </pic:spPr>
                </pic:pic>
              </a:graphicData>
            </a:graphic>
          </wp:inline>
        </w:drawing>
      </w:r>
    </w:p>
    <w:p w14:paraId="57C7B2AA" w14:textId="77777777" w:rsidR="00C14013" w:rsidRDefault="00C14013" w:rsidP="00C14013">
      <w:pP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S&amp;P 500 PERÍODO 1987-2017</w:t>
      </w:r>
    </w:p>
    <w:p w14:paraId="231DF894" w14:textId="77777777" w:rsidR="00C14013" w:rsidRDefault="00C14013" w:rsidP="00C14013">
      <w:pPr>
        <w:jc w:val="center"/>
      </w:pPr>
    </w:p>
    <w:p w14:paraId="4FD610EB" w14:textId="77777777" w:rsidR="00C14013" w:rsidRDefault="00C14013" w:rsidP="00C14013">
      <w:pPr>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5FA6681" wp14:editId="523B5B6C">
            <wp:extent cx="3894417" cy="2802784"/>
            <wp:effectExtent l="0" t="0" r="0" b="0"/>
            <wp:docPr id="13" name="Imagen 13" descr="cid:image012.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id:image012.jpg@01D5CA2A.F548E5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02642" cy="2808703"/>
                    </a:xfrm>
                    <a:prstGeom prst="rect">
                      <a:avLst/>
                    </a:prstGeom>
                    <a:noFill/>
                    <a:ln>
                      <a:noFill/>
                    </a:ln>
                  </pic:spPr>
                </pic:pic>
              </a:graphicData>
            </a:graphic>
          </wp:inline>
        </w:drawing>
      </w:r>
    </w:p>
    <w:p w14:paraId="6253E854" w14:textId="77777777" w:rsidR="00C14013" w:rsidRDefault="00C14013" w:rsidP="00C14013">
      <w:pPr>
        <w:jc w:val="center"/>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04BA01" w14:textId="77777777" w:rsidR="00C14013" w:rsidRDefault="00C14013" w:rsidP="00C14013">
      <w:pP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DOW JONES ÚLTIMO AÑO</w:t>
      </w:r>
    </w:p>
    <w:p w14:paraId="786089E2" w14:textId="77777777" w:rsidR="00C14013" w:rsidRDefault="00C14013" w:rsidP="00C14013">
      <w:pPr>
        <w:jc w:val="both"/>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9694EB" w14:textId="77777777" w:rsidR="00C14013" w:rsidRDefault="00C14013" w:rsidP="00C14013">
      <w:pPr>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4A2F220A" wp14:editId="0D39B161">
            <wp:extent cx="3150263" cy="3012104"/>
            <wp:effectExtent l="0" t="0" r="0" b="0"/>
            <wp:docPr id="12" name="Imagen 12" descr="cid:image013.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13.jpg@01D5CA2A.F548E5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51744" cy="3013520"/>
                    </a:xfrm>
                    <a:prstGeom prst="rect">
                      <a:avLst/>
                    </a:prstGeom>
                    <a:noFill/>
                    <a:ln>
                      <a:noFill/>
                    </a:ln>
                  </pic:spPr>
                </pic:pic>
              </a:graphicData>
            </a:graphic>
          </wp:inline>
        </w:drawing>
      </w:r>
    </w:p>
    <w:p w14:paraId="6DDBD1E9" w14:textId="77777777" w:rsidR="00C14013" w:rsidRDefault="00C14013" w:rsidP="00C14013">
      <w:pPr>
        <w:jc w:val="center"/>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10CFFB" w14:textId="77777777" w:rsidR="00C14013" w:rsidRDefault="00C14013" w:rsidP="00C14013">
      <w:pPr>
        <w:jc w:val="center"/>
        <w:rPr>
          <w:rFonts w:ascii="Century Gothic" w:hAnsi="Century Gothic"/>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079F3C"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Evidentemente, como vivimos en España, tenemos que profundizar y mostrar especial interés en el tablero nacional y sus previsiones, donde el tema político podría incidir en forma y fondo, según las medidas, grado de estabilidad, y sesgo de las medidas que vayan abordando el nuevo Gobierno.</w:t>
      </w:r>
    </w:p>
    <w:p w14:paraId="6C748C79"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4E3DE954"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2D2098"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484255" w14:textId="77777777" w:rsidR="00C14013" w:rsidRDefault="00C14013" w:rsidP="00C14013">
      <w:r>
        <w:rPr>
          <w:noProof/>
        </w:rPr>
        <w:lastRenderedPageBreak/>
        <w:drawing>
          <wp:inline distT="0" distB="0" distL="0" distR="0" wp14:anchorId="79567E3F" wp14:editId="063636F1">
            <wp:extent cx="2216150" cy="462280"/>
            <wp:effectExtent l="0" t="0" r="0" b="0"/>
            <wp:docPr id="11" name="Imagen 11" descr="cid:image015.pn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15.png@01D5CA2A.F548E5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16150" cy="462280"/>
                    </a:xfrm>
                    <a:prstGeom prst="rect">
                      <a:avLst/>
                    </a:prstGeom>
                    <a:noFill/>
                    <a:ln>
                      <a:noFill/>
                    </a:ln>
                  </pic:spPr>
                </pic:pic>
              </a:graphicData>
            </a:graphic>
          </wp:inline>
        </w:drawing>
      </w:r>
    </w:p>
    <w:p w14:paraId="0D258BED" w14:textId="77777777" w:rsidR="00C14013" w:rsidRDefault="00C14013" w:rsidP="00C14013"/>
    <w:p w14:paraId="7475BCCA" w14:textId="77777777" w:rsidR="00C14013" w:rsidRDefault="00C14013" w:rsidP="00C14013">
      <w:pPr>
        <w:jc w:val="center"/>
      </w:pPr>
    </w:p>
    <w:p w14:paraId="63D88C57"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8CC24C"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Existe un criterio generalizado respecto a 2020 y sus expectativas. En general, la mayoría de</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analistas, Bancos y Gestoras Nacionales e Internacionales comparten la opinión en que será un año moderadamente bueno, respecto a mercados y ratios macro y de beneficios empresariales, siendo necesario -no obstante- prestar atención a peligros externos derivados de la política y las relaciones entre potencias.</w:t>
      </w:r>
    </w:p>
    <w:p w14:paraId="0406852D"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2FBF3B"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 circunstancias más destacadas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 día de hoy</w:t>
      </w:r>
      <w:proofErr w:type="gramEnd"/>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son las tensiones USA/Irán, los próximos capítulos arancelarias, las modalidades de resolución del BREXIT, el precio del petróleo, y la posible volatilidad en la paridad entre divisas, entre los potenciales conflictos más destacadas.</w:t>
      </w:r>
    </w:p>
    <w:p w14:paraId="07C7F089"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6370CB"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España, seguimos inmersos y pendientes de las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discrepancias territoriales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 en el perfil de las estrategias de gestión y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coordinación del nuevo Gobierno</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todas las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decisiones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que puedan afectar a la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fiscalidad</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tratamiento del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ahorro,</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las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pensiones,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 áreas que puedan afectar -en general- al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músculo inversor</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emprendedor</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empresarial,</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sin olvidar los sectores motores de los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autónomos </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 las clase media de la sociedad, donde en muchas ocasiones se concentran y solicitan los mayores esfuerzos para poder garantizar los </w:t>
      </w:r>
      <w:r w:rsidRPr="00C14013">
        <w:rPr>
          <w:rFonts w:ascii="Century Gothic" w:hAnsi="Century Gothic"/>
          <w:color w:val="4472C4"/>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objetivos presupuestarios</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DEAD7FD"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6CE040"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cualquier caso, la PRIMA DE RIESGO en España tiene un nivel significativamente bajo en estas fechas, que refleja que las preocupaciones son muy bajas, o están controladas. Podríamos considerar que por debajo de 100 un país tiene una consideración “estable” en los mercados, y España </w:t>
      </w:r>
      <w:proofErr w:type="gramStart"/>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día de hoy</w:t>
      </w:r>
      <w:proofErr w:type="gramEnd"/>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ronda los 60 puntos. Veamos su definición:</w:t>
      </w:r>
    </w:p>
    <w:p w14:paraId="5CE3BAD5"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837770"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8E67F5C" wp14:editId="6DB0D505">
            <wp:extent cx="6300470" cy="838200"/>
            <wp:effectExtent l="0" t="0" r="5080" b="0"/>
            <wp:docPr id="10" name="Imagen 10" descr="cid:image017.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17.jpg@01D5CA2A.F548E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300470" cy="838200"/>
                    </a:xfrm>
                    <a:prstGeom prst="rect">
                      <a:avLst/>
                    </a:prstGeom>
                    <a:noFill/>
                    <a:ln>
                      <a:noFill/>
                    </a:ln>
                  </pic:spPr>
                </pic:pic>
              </a:graphicData>
            </a:graphic>
          </wp:inline>
        </w:drawing>
      </w:r>
    </w:p>
    <w:p w14:paraId="7989D967"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663CD4"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 en cuanto a primas de riesgo, España nos regala un</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cifra</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“el doble de mejor que, por ejemplo, Italia”.</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 cuadro adjunto refleja las cifras.</w:t>
      </w:r>
    </w:p>
    <w:p w14:paraId="453866F5"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D2ABF5"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1B9F82"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6EC31F55"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95E94D"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241EB0"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BA3F79" w14:textId="77777777" w:rsidR="00C14013" w:rsidRDefault="00C14013" w:rsidP="00C14013">
      <w:pPr>
        <w:rPr>
          <w:noProof/>
        </w:rPr>
      </w:pPr>
    </w:p>
    <w:p w14:paraId="2021D043" w14:textId="77777777" w:rsidR="00C14013" w:rsidRDefault="00C14013" w:rsidP="00C14013">
      <w:pPr>
        <w:rPr>
          <w:noProof/>
        </w:rPr>
      </w:pPr>
    </w:p>
    <w:p w14:paraId="4C3F62DF" w14:textId="77777777" w:rsidR="00C14013" w:rsidRDefault="00C14013" w:rsidP="00C14013">
      <w:pPr>
        <w:rPr>
          <w:noProof/>
        </w:rPr>
      </w:pPr>
    </w:p>
    <w:p w14:paraId="36C0D842" w14:textId="77777777" w:rsidR="00C14013" w:rsidRDefault="00C14013" w:rsidP="00C14013">
      <w:pPr>
        <w:rPr>
          <w:noProof/>
        </w:rPr>
      </w:pPr>
    </w:p>
    <w:p w14:paraId="1F352E40" w14:textId="77777777" w:rsidR="00C14013" w:rsidRDefault="00C14013" w:rsidP="00C14013">
      <w:pPr>
        <w:rPr>
          <w:noProof/>
        </w:rPr>
      </w:pPr>
    </w:p>
    <w:p w14:paraId="563C11A9" w14:textId="77777777" w:rsidR="00C14013" w:rsidRDefault="00C14013" w:rsidP="00C14013">
      <w:pPr>
        <w:rPr>
          <w:noProof/>
        </w:rPr>
      </w:pPr>
    </w:p>
    <w:p w14:paraId="597E5403"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33E91089" wp14:editId="0F2C2B05">
            <wp:extent cx="4916170" cy="62287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16170" cy="6228715"/>
                    </a:xfrm>
                    <a:prstGeom prst="rect">
                      <a:avLst/>
                    </a:prstGeom>
                    <a:noFill/>
                    <a:ln>
                      <a:noFill/>
                    </a:ln>
                  </pic:spPr>
                </pic:pic>
              </a:graphicData>
            </a:graphic>
          </wp:inline>
        </w:drawing>
      </w:r>
    </w:p>
    <w:p w14:paraId="5E69EC34"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975D0F"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D9DDF1" w14:textId="77777777" w:rsidR="00942594"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Después de los diez primeros días del 2020 la totalidad de Bolsas mundiales reflejan cifras positivas de revalorización.</w:t>
      </w:r>
    </w:p>
    <w:p w14:paraId="66244A0E" w14:textId="77777777" w:rsidR="00942594" w:rsidRDefault="00942594"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39DD52" w14:textId="77777777" w:rsidR="00C14013" w:rsidRDefault="00C14013" w:rsidP="00C14013">
      <w:pPr>
        <w:jc w:val="both"/>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el video adjunto sintetizamos las previsiones para la semana en curso.</w:t>
      </w:r>
    </w:p>
    <w:p w14:paraId="5BEC4B49" w14:textId="77777777" w:rsidR="00C14013" w:rsidRDefault="00C14013" w:rsidP="00C14013">
      <w:pPr>
        <w:rPr>
          <w:lang w:eastAsia="es-ES"/>
        </w:rPr>
      </w:pPr>
      <w:hyperlink r:id="rId20" w:history="1">
        <w:r>
          <w:rPr>
            <w:rStyle w:val="Hipervnculo"/>
            <w:lang w:eastAsia="es-ES"/>
          </w:rPr>
          <w:t>https://youtu.be/E8Ag6VUyo84?list=PLUH3Ge1l40P1tuBB-fK8S9Id3INXrERpN</w:t>
        </w:r>
      </w:hyperlink>
    </w:p>
    <w:p w14:paraId="131107B7" w14:textId="77777777" w:rsidR="00942594" w:rsidRDefault="00942594" w:rsidP="00C14013">
      <w:pPr>
        <w:rPr>
          <w:lang w:eastAsia="es-ES"/>
        </w:rPr>
      </w:pPr>
    </w:p>
    <w:p w14:paraId="0F61A2F1" w14:textId="77777777" w:rsidR="00942594" w:rsidRDefault="00942594" w:rsidP="00C14013">
      <w:pPr>
        <w:rPr>
          <w:lang w:eastAsia="es-ES"/>
        </w:rPr>
      </w:pPr>
    </w:p>
    <w:p w14:paraId="2FB4B884" w14:textId="77777777" w:rsidR="00942594" w:rsidRDefault="00942594" w:rsidP="00C14013">
      <w:pPr>
        <w:rPr>
          <w:lang w:eastAsia="es-ES"/>
        </w:rPr>
      </w:pPr>
      <w:r>
        <w:rPr>
          <w:lang w:eastAsia="es-ES"/>
        </w:rPr>
        <w:t>-4-</w:t>
      </w:r>
    </w:p>
    <w:p w14:paraId="431765F0"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AE74B0"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BF6F3D"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B2ED4"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079A6"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A787E2" w14:textId="77777777" w:rsidR="00C14013" w:rsidRDefault="00942594"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inline distT="0" distB="0" distL="0" distR="0" wp14:anchorId="2C7B0ABA" wp14:editId="075745FC">
            <wp:extent cx="2216150" cy="462280"/>
            <wp:effectExtent l="0" t="0" r="0" b="0"/>
            <wp:docPr id="17" name="Imagen 17" descr="cid:image015.pn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15.png@01D5CA2A.F548E5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16150" cy="462280"/>
                    </a:xfrm>
                    <a:prstGeom prst="rect">
                      <a:avLst/>
                    </a:prstGeom>
                    <a:noFill/>
                    <a:ln>
                      <a:noFill/>
                    </a:ln>
                  </pic:spPr>
                </pic:pic>
              </a:graphicData>
            </a:graphic>
          </wp:inline>
        </w:drawing>
      </w:r>
    </w:p>
    <w:p w14:paraId="6E14B3E1" w14:textId="77777777" w:rsidR="00CA1FC5" w:rsidRDefault="00CA1FC5"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45A338" w14:textId="77777777" w:rsidR="00942594" w:rsidRDefault="00942594"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936526" w14:textId="77777777" w:rsidR="00CA1FC5" w:rsidRDefault="00CA1FC5" w:rsidP="00C14013">
      <w:pP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1FC5">
        <w:rPr>
          <w:rFonts w:ascii="Century Gothic" w:hAnsi="Century Gothic"/>
          <w:b/>
          <w:bCs/>
          <w:color w:val="FF0000"/>
          <w:sz w:val="24"/>
          <w:szCs w:val="24"/>
          <w:highlight w:val="lightGra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SERVICIOS Y</w:t>
      </w:r>
      <w: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9C396D" w14:textId="77777777" w:rsidR="00C14013" w:rsidRDefault="00CA1FC5" w:rsidP="00C14013">
      <w:pP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14013">
        <w:rPr>
          <w:rFonts w:ascii="Century Gothic" w:hAnsi="Century Gothic"/>
          <w:b/>
          <w:bCs/>
          <w:color w:val="FF0000"/>
          <w:sz w:val="24"/>
          <w:szCs w:val="24"/>
          <w:highlight w:val="lightGra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ALTERNATIVAS DE INVERSIÓN</w:t>
      </w:r>
    </w:p>
    <w:p w14:paraId="0253BD2E" w14:textId="77777777" w:rsidR="00CA1FC5" w:rsidRDefault="00CA1FC5" w:rsidP="00C14013">
      <w:pP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8D3220" w14:textId="77777777" w:rsidR="00C14013" w:rsidRDefault="00C14013" w:rsidP="00C14013">
      <w:pPr>
        <w:rPr>
          <w:rFonts w:ascii="Century Gothic" w:hAnsi="Century Gothic"/>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C8DA1C" w14:textId="77777777" w:rsidR="00CA1FC5"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primer lugar, nos parece importante dejar constancia del máximo interés de FIF, como equipo profesional del Asesoramiento a Grandes Patrimonios e Instituciones de BANKINTER, en ser, mantener y crecer en nuestros servicios</w:t>
      </w:r>
      <w:r w:rsidR="00942594">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en respuesta a unos buenos asesoramientos y satisfacción de los clientes</w:t>
      </w:r>
      <w:r w:rsidR="00942594"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34641E8B" w14:textId="77777777" w:rsidR="00CA1FC5" w:rsidRDefault="00CA1FC5"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F48113" w14:textId="77777777" w:rsidR="00CA1FC5" w:rsidRDefault="00C14013" w:rsidP="00C14013">
      <w:pPr>
        <w:jc w:val="both"/>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Nuestra relación </w:t>
      </w:r>
      <w:r w:rsidR="00942594"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como AGENTES BANKINTER</w:t>
      </w:r>
      <w:r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cumpl</w:t>
      </w:r>
      <w:r w:rsid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más de 20 años</w:t>
      </w:r>
      <w:r w:rsid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este ejercicio</w:t>
      </w:r>
      <w:r w:rsidR="00942594"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que se suman a otros 25 años anteriores en puestos de Alta Dirección de l</w:t>
      </w:r>
      <w:r w:rsidR="00B67A20">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942594" w:rsidRPr="00942594">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principales Bancos y Sociedades de Valores y Bolsa.</w:t>
      </w: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208C5A7" w14:textId="77777777" w:rsidR="00CA1FC5" w:rsidRDefault="00CA1FC5" w:rsidP="00C14013">
      <w:pPr>
        <w:jc w:val="both"/>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9370C3" w14:textId="77777777" w:rsidR="00942594" w:rsidRDefault="00C14013" w:rsidP="00C14013">
      <w:pPr>
        <w:jc w:val="both"/>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 tanto, confirmamos que nuestra única actividad es identificarnos con los objetivos de los titulares, con total disponibilidad, ya que nuestra esencia y supervivencia -como empresa privada, dentro del organigrama de BANKINTER- es la satisfacción de los clientes. Esa gestión integral, personalizada al 100%, define la figura de Agente Financiero BK</w:t>
      </w:r>
      <w:r w:rsidR="00942594">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oficina Nacional Red Agencial FIF </w:t>
      </w:r>
      <w:proofErr w:type="spellStart"/>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nº</w:t>
      </w:r>
      <w:proofErr w:type="spellEnd"/>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4484 de Bankinter.</w:t>
      </w:r>
      <w:r w:rsidR="00942594">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599B32" w14:textId="77777777" w:rsidR="00942594" w:rsidRDefault="00942594" w:rsidP="00C14013">
      <w:pPr>
        <w:jc w:val="both"/>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A38309" w14:textId="77777777" w:rsidR="00C14013" w:rsidRPr="00942594" w:rsidRDefault="00942594" w:rsidP="00C14013">
      <w:pPr>
        <w:jc w:val="both"/>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relación</w:t>
      </w:r>
      <w:r w:rsidR="00C14013">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la familia de clientes con FIF tiene una interacción directa</w:t>
      </w:r>
      <w:r w:rsidR="00CA1FC5">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permanente</w:t>
      </w:r>
      <w:r w:rsidR="00CA1FC5">
        <w:rPr>
          <w:rFonts w:ascii="Century Gothic" w:hAnsi="Century Gothic"/>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w:t>
      </w:r>
      <w:r w:rsidR="00C14013">
        <w:rPr>
          <w:rFonts w:ascii="Century Gothic" w:hAnsi="Century Gothic"/>
          <w:color w:val="0070C0"/>
          <w:sz w:val="24"/>
          <w:szCs w:val="24"/>
        </w:rPr>
        <w:t xml:space="preserve"> preferente,</w:t>
      </w:r>
      <w:r w:rsidR="00CA1FC5">
        <w:rPr>
          <w:rFonts w:ascii="Century Gothic" w:hAnsi="Century Gothic"/>
          <w:color w:val="0070C0"/>
          <w:sz w:val="24"/>
          <w:szCs w:val="24"/>
        </w:rPr>
        <w:t xml:space="preserve"> con</w:t>
      </w:r>
      <w:r w:rsidR="00C14013">
        <w:rPr>
          <w:rFonts w:ascii="Century Gothic" w:hAnsi="Century Gothic"/>
          <w:color w:val="0070C0"/>
          <w:sz w:val="24"/>
          <w:szCs w:val="24"/>
        </w:rPr>
        <w:t xml:space="preserve"> Yolanda-Joaquín </w:t>
      </w:r>
      <w:proofErr w:type="spellStart"/>
      <w:r w:rsidR="00C14013">
        <w:rPr>
          <w:rFonts w:ascii="Century Gothic" w:hAnsi="Century Gothic"/>
          <w:color w:val="0070C0"/>
          <w:sz w:val="24"/>
          <w:szCs w:val="24"/>
        </w:rPr>
        <w:t>Almasqué</w:t>
      </w:r>
      <w:proofErr w:type="spellEnd"/>
      <w:r w:rsidR="00CA1FC5">
        <w:rPr>
          <w:rFonts w:ascii="Century Gothic" w:hAnsi="Century Gothic"/>
          <w:color w:val="0070C0"/>
          <w:sz w:val="24"/>
          <w:szCs w:val="24"/>
        </w:rPr>
        <w:t>,</w:t>
      </w:r>
      <w:r w:rsidR="00C14013">
        <w:rPr>
          <w:rFonts w:ascii="Century Gothic" w:hAnsi="Century Gothic"/>
          <w:color w:val="0070C0"/>
          <w:sz w:val="24"/>
          <w:szCs w:val="24"/>
        </w:rPr>
        <w:t xml:space="preserve"> </w:t>
      </w:r>
      <w:r w:rsidR="00CA1FC5">
        <w:rPr>
          <w:rFonts w:ascii="Century Gothic" w:hAnsi="Century Gothic"/>
          <w:color w:val="0070C0"/>
          <w:sz w:val="24"/>
          <w:szCs w:val="24"/>
        </w:rPr>
        <w:t>sin comisiones ni costes adicionales. Al contrario, todos los clientes tienen tratamiento VIP Banca Privada en condiciones especiales</w:t>
      </w:r>
      <w:r w:rsidR="00C14013">
        <w:rPr>
          <w:rFonts w:ascii="Century Gothic" w:hAnsi="Century Gothic"/>
          <w:color w:val="0070C0"/>
          <w:sz w:val="24"/>
          <w:szCs w:val="24"/>
        </w:rPr>
        <w:t xml:space="preserve">. Para ello, sugerimos reuniones periódicas para </w:t>
      </w:r>
      <w:r w:rsidR="00CA1FC5">
        <w:rPr>
          <w:rFonts w:ascii="Century Gothic" w:hAnsi="Century Gothic"/>
          <w:color w:val="0070C0"/>
          <w:sz w:val="24"/>
          <w:szCs w:val="24"/>
        </w:rPr>
        <w:t>el seguimiento continuo y</w:t>
      </w:r>
      <w:r w:rsidR="00C14013">
        <w:rPr>
          <w:rFonts w:ascii="Century Gothic" w:hAnsi="Century Gothic"/>
          <w:color w:val="0070C0"/>
          <w:sz w:val="24"/>
          <w:szCs w:val="24"/>
        </w:rPr>
        <w:t xml:space="preserve"> conjunto de los mercados, de las alternativas de inversión,</w:t>
      </w:r>
      <w:r w:rsidR="00CA1FC5">
        <w:rPr>
          <w:rFonts w:ascii="Century Gothic" w:hAnsi="Century Gothic"/>
          <w:color w:val="0070C0"/>
          <w:sz w:val="24"/>
          <w:szCs w:val="24"/>
        </w:rPr>
        <w:t xml:space="preserve"> </w:t>
      </w:r>
      <w:r w:rsidR="00C14013">
        <w:rPr>
          <w:rFonts w:ascii="Century Gothic" w:hAnsi="Century Gothic"/>
          <w:color w:val="0070C0"/>
          <w:sz w:val="24"/>
          <w:szCs w:val="24"/>
        </w:rPr>
        <w:t>seguimiento</w:t>
      </w:r>
      <w:r w:rsidR="00CA1FC5">
        <w:rPr>
          <w:rFonts w:ascii="Century Gothic" w:hAnsi="Century Gothic"/>
          <w:color w:val="0070C0"/>
          <w:sz w:val="24"/>
          <w:szCs w:val="24"/>
        </w:rPr>
        <w:t>s</w:t>
      </w:r>
      <w:r w:rsidR="00C14013">
        <w:rPr>
          <w:rFonts w:ascii="Century Gothic" w:hAnsi="Century Gothic"/>
          <w:color w:val="0070C0"/>
          <w:sz w:val="24"/>
          <w:szCs w:val="24"/>
        </w:rPr>
        <w:t xml:space="preserve"> de </w:t>
      </w:r>
      <w:proofErr w:type="gramStart"/>
      <w:r w:rsidR="00C14013">
        <w:rPr>
          <w:rFonts w:ascii="Century Gothic" w:hAnsi="Century Gothic"/>
          <w:color w:val="0070C0"/>
          <w:sz w:val="24"/>
          <w:szCs w:val="24"/>
        </w:rPr>
        <w:t>las mismas</w:t>
      </w:r>
      <w:proofErr w:type="gramEnd"/>
      <w:r w:rsidR="00CA1FC5">
        <w:rPr>
          <w:rFonts w:ascii="Century Gothic" w:hAnsi="Century Gothic"/>
          <w:color w:val="0070C0"/>
          <w:sz w:val="24"/>
          <w:szCs w:val="24"/>
        </w:rPr>
        <w:t xml:space="preserve">, y de las </w:t>
      </w:r>
      <w:r w:rsidR="00CA1FC5">
        <w:rPr>
          <w:rFonts w:ascii="Century Gothic" w:hAnsi="Century Gothic"/>
          <w:color w:val="0070C0"/>
          <w:sz w:val="24"/>
          <w:szCs w:val="24"/>
        </w:rPr>
        <w:t xml:space="preserve">propuestas y gestiones </w:t>
      </w:r>
      <w:r w:rsidR="00CA1FC5">
        <w:rPr>
          <w:rFonts w:ascii="Century Gothic" w:hAnsi="Century Gothic"/>
          <w:color w:val="0070C0"/>
          <w:sz w:val="24"/>
          <w:szCs w:val="24"/>
        </w:rPr>
        <w:t xml:space="preserve">pertinentes para los </w:t>
      </w:r>
      <w:r w:rsidR="00CA1FC5">
        <w:rPr>
          <w:rFonts w:ascii="Century Gothic" w:hAnsi="Century Gothic"/>
          <w:color w:val="0070C0"/>
          <w:sz w:val="24"/>
          <w:szCs w:val="24"/>
        </w:rPr>
        <w:t>objetivos perseguidos</w:t>
      </w:r>
      <w:r w:rsidR="00CA1FC5">
        <w:rPr>
          <w:rFonts w:ascii="Century Gothic" w:hAnsi="Century Gothic"/>
          <w:color w:val="0070C0"/>
          <w:sz w:val="24"/>
          <w:szCs w:val="24"/>
        </w:rPr>
        <w:t>.</w:t>
      </w:r>
    </w:p>
    <w:p w14:paraId="27E6E11D" w14:textId="77777777" w:rsidR="00C14013" w:rsidRDefault="00C14013" w:rsidP="00C14013">
      <w:pPr>
        <w:jc w:val="both"/>
        <w:rPr>
          <w:rFonts w:ascii="Century Gothic" w:hAnsi="Century Gothic"/>
          <w:color w:val="0070C0"/>
          <w:sz w:val="24"/>
          <w:szCs w:val="24"/>
        </w:rPr>
      </w:pPr>
    </w:p>
    <w:p w14:paraId="5F56DE4A" w14:textId="77777777" w:rsidR="00C14013" w:rsidRDefault="00C14013" w:rsidP="00C14013">
      <w:pPr>
        <w:jc w:val="both"/>
        <w:rPr>
          <w:rFonts w:ascii="Century Gothic" w:hAnsi="Century Gothic"/>
          <w:b/>
          <w:bCs/>
          <w:color w:val="0070C0"/>
          <w:sz w:val="24"/>
          <w:szCs w:val="24"/>
        </w:rPr>
      </w:pPr>
      <w:r>
        <w:rPr>
          <w:rFonts w:ascii="Century Gothic" w:hAnsi="Century Gothic"/>
          <w:b/>
          <w:bCs/>
          <w:color w:val="0070C0"/>
          <w:sz w:val="24"/>
          <w:szCs w:val="24"/>
        </w:rPr>
        <w:t>Como hemos visto, el escenario actual de bajos tipos de interés provoca bajos rendimientos para aquellos titulares que no desean tener porcentajes de Renta Variable en sus carteras.</w:t>
      </w:r>
    </w:p>
    <w:p w14:paraId="229AA509" w14:textId="77777777" w:rsidR="00C14013" w:rsidRDefault="00C14013" w:rsidP="00C14013">
      <w:pPr>
        <w:jc w:val="both"/>
        <w:rPr>
          <w:rFonts w:ascii="Century Gothic" w:hAnsi="Century Gothic"/>
          <w:b/>
          <w:bCs/>
          <w:color w:val="0070C0"/>
          <w:sz w:val="24"/>
          <w:szCs w:val="24"/>
        </w:rPr>
      </w:pPr>
    </w:p>
    <w:p w14:paraId="21BA102E"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Por tal motivo, debemos realizar todo tipo de seguimientos para detectar aquellas modalidades de inversión que puedan adaptarse a los criterios, con sus fundamentos. Por tanto, hoy vamos a reflejar cuatro consideraciones para compartirlas como posibles inversiones iniciales del</w:t>
      </w:r>
      <w:r w:rsidR="00CA1FC5">
        <w:rPr>
          <w:rFonts w:ascii="Century Gothic" w:hAnsi="Century Gothic"/>
          <w:color w:val="0070C0"/>
          <w:sz w:val="24"/>
          <w:szCs w:val="24"/>
        </w:rPr>
        <w:t xml:space="preserve"> segmento moderado de los clientes</w:t>
      </w:r>
      <w:r>
        <w:rPr>
          <w:rFonts w:ascii="Century Gothic" w:hAnsi="Century Gothic"/>
          <w:color w:val="0070C0"/>
          <w:sz w:val="24"/>
          <w:szCs w:val="24"/>
        </w:rPr>
        <w:t xml:space="preserve">. No obstante, la cifra </w:t>
      </w:r>
      <w:r w:rsidR="00CA1FC5">
        <w:rPr>
          <w:rFonts w:ascii="Century Gothic" w:hAnsi="Century Gothic"/>
          <w:color w:val="0070C0"/>
          <w:sz w:val="24"/>
          <w:szCs w:val="24"/>
        </w:rPr>
        <w:t>de inversión o cartera consolidada siempre condicionan el</w:t>
      </w:r>
      <w:r>
        <w:rPr>
          <w:rFonts w:ascii="Century Gothic" w:hAnsi="Century Gothic"/>
          <w:color w:val="0070C0"/>
          <w:sz w:val="24"/>
          <w:szCs w:val="24"/>
        </w:rPr>
        <w:t xml:space="preserve"> abanico </w:t>
      </w:r>
      <w:r w:rsidR="00CA1FC5">
        <w:rPr>
          <w:rFonts w:ascii="Century Gothic" w:hAnsi="Century Gothic"/>
          <w:color w:val="0070C0"/>
          <w:sz w:val="24"/>
          <w:szCs w:val="24"/>
        </w:rPr>
        <w:t>de alternativas, según perfiles y</w:t>
      </w:r>
      <w:r>
        <w:rPr>
          <w:rFonts w:ascii="Century Gothic" w:hAnsi="Century Gothic"/>
          <w:color w:val="0070C0"/>
          <w:sz w:val="24"/>
          <w:szCs w:val="24"/>
        </w:rPr>
        <w:t xml:space="preserve"> los criterios de diversificación.</w:t>
      </w:r>
    </w:p>
    <w:p w14:paraId="7A0B7A3E" w14:textId="77777777" w:rsidR="00CA1FC5" w:rsidRDefault="00CA1FC5" w:rsidP="00C14013">
      <w:pPr>
        <w:jc w:val="both"/>
        <w:rPr>
          <w:rFonts w:ascii="Century Gothic" w:hAnsi="Century Gothic"/>
          <w:color w:val="0070C0"/>
          <w:sz w:val="24"/>
          <w:szCs w:val="24"/>
        </w:rPr>
      </w:pPr>
    </w:p>
    <w:p w14:paraId="255D8BF2" w14:textId="77777777" w:rsidR="00CA1FC5" w:rsidRDefault="00CA1FC5" w:rsidP="00C14013">
      <w:pPr>
        <w:jc w:val="both"/>
        <w:rPr>
          <w:rFonts w:ascii="Century Gothic" w:hAnsi="Century Gothic"/>
          <w:color w:val="0070C0"/>
          <w:sz w:val="24"/>
          <w:szCs w:val="24"/>
        </w:rPr>
      </w:pPr>
    </w:p>
    <w:p w14:paraId="10CE7A4A" w14:textId="77777777" w:rsidR="00CA1FC5" w:rsidRDefault="00CA1FC5" w:rsidP="00C14013">
      <w:pPr>
        <w:jc w:val="both"/>
        <w:rPr>
          <w:rFonts w:ascii="Century Gothic" w:hAnsi="Century Gothic"/>
          <w:color w:val="0070C0"/>
          <w:sz w:val="24"/>
          <w:szCs w:val="24"/>
        </w:rPr>
      </w:pPr>
    </w:p>
    <w:p w14:paraId="5C362546" w14:textId="77777777" w:rsidR="00942594" w:rsidRDefault="00942594" w:rsidP="00C14013">
      <w:pPr>
        <w:jc w:val="both"/>
        <w:rPr>
          <w:rFonts w:ascii="Century Gothic" w:hAnsi="Century Gothic"/>
          <w:color w:val="0070C0"/>
          <w:sz w:val="24"/>
          <w:szCs w:val="24"/>
        </w:rPr>
      </w:pPr>
    </w:p>
    <w:p w14:paraId="2440D7B5" w14:textId="77777777" w:rsidR="00942594" w:rsidRDefault="00942594" w:rsidP="00C14013">
      <w:pPr>
        <w:jc w:val="both"/>
        <w:rPr>
          <w:rFonts w:ascii="Century Gothic" w:hAnsi="Century Gothic"/>
          <w:color w:val="0070C0"/>
          <w:sz w:val="24"/>
          <w:szCs w:val="24"/>
        </w:rPr>
      </w:pPr>
      <w:r>
        <w:rPr>
          <w:rFonts w:ascii="Century Gothic" w:hAnsi="Century Gothic"/>
          <w:color w:val="0070C0"/>
          <w:sz w:val="24"/>
          <w:szCs w:val="24"/>
        </w:rPr>
        <w:t>-5-</w:t>
      </w:r>
    </w:p>
    <w:p w14:paraId="669FF618" w14:textId="77777777" w:rsidR="00CA1FC5" w:rsidRDefault="00CA1FC5" w:rsidP="00C14013">
      <w:pPr>
        <w:jc w:val="both"/>
        <w:rPr>
          <w:rFonts w:ascii="Century Gothic" w:hAnsi="Century Gothic"/>
          <w:color w:val="0070C0"/>
          <w:sz w:val="24"/>
          <w:szCs w:val="24"/>
        </w:rPr>
      </w:pPr>
    </w:p>
    <w:p w14:paraId="21B0F187" w14:textId="77777777" w:rsidR="00CA1FC5" w:rsidRDefault="00CA1FC5" w:rsidP="00C14013">
      <w:pPr>
        <w:jc w:val="both"/>
        <w:rPr>
          <w:rFonts w:ascii="Century Gothic" w:hAnsi="Century Gothic"/>
          <w:color w:val="0070C0"/>
          <w:sz w:val="24"/>
          <w:szCs w:val="24"/>
        </w:rPr>
      </w:pPr>
    </w:p>
    <w:p w14:paraId="1C2E96B8" w14:textId="77777777" w:rsidR="00B67A20" w:rsidRDefault="00B67A20" w:rsidP="00C14013">
      <w:pPr>
        <w:jc w:val="both"/>
        <w:rPr>
          <w:rFonts w:ascii="Century Gothic" w:hAnsi="Century Gothic"/>
          <w:color w:val="0070C0"/>
          <w:sz w:val="24"/>
          <w:szCs w:val="24"/>
        </w:rPr>
      </w:pPr>
    </w:p>
    <w:p w14:paraId="4258E00B" w14:textId="77777777" w:rsidR="00B67A20" w:rsidRPr="00B67A20" w:rsidRDefault="00C14013" w:rsidP="00C14013">
      <w:pPr>
        <w:jc w:val="both"/>
        <w:rPr>
          <w:rFonts w:ascii="Century Gothic" w:hAnsi="Century Gothic"/>
          <w:b/>
          <w:bCs/>
          <w:color w:val="FF0000"/>
          <w:sz w:val="32"/>
          <w:szCs w:val="32"/>
        </w:rPr>
      </w:pPr>
      <w:r w:rsidRPr="00B67A20">
        <w:rPr>
          <w:rFonts w:ascii="Century Gothic" w:hAnsi="Century Gothic"/>
          <w:b/>
          <w:bCs/>
          <w:color w:val="FF0000"/>
          <w:sz w:val="32"/>
          <w:szCs w:val="32"/>
        </w:rPr>
        <w:lastRenderedPageBreak/>
        <w:t xml:space="preserve">PROPUESTAS INVERSIÓN CONSERVADORAS </w:t>
      </w:r>
      <w:r w:rsidR="00B67A20">
        <w:rPr>
          <w:rFonts w:ascii="Century Gothic" w:hAnsi="Century Gothic"/>
          <w:b/>
          <w:bCs/>
          <w:color w:val="FF0000"/>
          <w:sz w:val="32"/>
          <w:szCs w:val="32"/>
        </w:rPr>
        <w:t>y MODERADAS</w:t>
      </w:r>
    </w:p>
    <w:p w14:paraId="6697DF9C" w14:textId="77777777" w:rsidR="00C14013" w:rsidRDefault="00B67A20" w:rsidP="00C14013">
      <w:pPr>
        <w:jc w:val="both"/>
        <w:rPr>
          <w:rFonts w:ascii="Century Gothic" w:hAnsi="Century Gothic"/>
          <w:b/>
          <w:bCs/>
          <w:color w:val="FF0000"/>
          <w:sz w:val="32"/>
          <w:szCs w:val="32"/>
        </w:rPr>
      </w:pPr>
      <w:r w:rsidRPr="00B67A20">
        <w:rPr>
          <w:rFonts w:ascii="Century Gothic" w:hAnsi="Century Gothic"/>
          <w:b/>
          <w:bCs/>
          <w:color w:val="FF0000"/>
          <w:sz w:val="32"/>
          <w:szCs w:val="32"/>
        </w:rPr>
        <w:t xml:space="preserve">                     </w:t>
      </w:r>
      <w:r>
        <w:rPr>
          <w:rFonts w:ascii="Century Gothic" w:hAnsi="Century Gothic"/>
          <w:b/>
          <w:bCs/>
          <w:color w:val="FF0000"/>
          <w:sz w:val="32"/>
          <w:szCs w:val="32"/>
        </w:rPr>
        <w:t xml:space="preserve">  </w:t>
      </w:r>
      <w:r w:rsidRPr="00B67A20">
        <w:rPr>
          <w:rFonts w:ascii="Century Gothic" w:hAnsi="Century Gothic"/>
          <w:b/>
          <w:bCs/>
          <w:color w:val="FF0000"/>
          <w:sz w:val="32"/>
          <w:szCs w:val="32"/>
        </w:rPr>
        <w:t xml:space="preserve">     </w:t>
      </w:r>
      <w:r>
        <w:rPr>
          <w:rFonts w:ascii="Century Gothic" w:hAnsi="Century Gothic"/>
          <w:b/>
          <w:bCs/>
          <w:color w:val="FF0000"/>
          <w:sz w:val="32"/>
          <w:szCs w:val="32"/>
        </w:rPr>
        <w:t xml:space="preserve">                           </w:t>
      </w:r>
      <w:r w:rsidRPr="00B67A20">
        <w:rPr>
          <w:rFonts w:ascii="Century Gothic" w:hAnsi="Century Gothic"/>
          <w:b/>
          <w:bCs/>
          <w:color w:val="FF0000"/>
          <w:sz w:val="32"/>
          <w:szCs w:val="32"/>
        </w:rPr>
        <w:t xml:space="preserve"> </w:t>
      </w:r>
      <w:r w:rsidR="00C14013" w:rsidRPr="00B67A20">
        <w:rPr>
          <w:rFonts w:ascii="Century Gothic" w:hAnsi="Century Gothic"/>
          <w:b/>
          <w:bCs/>
          <w:color w:val="FF0000"/>
          <w:sz w:val="32"/>
          <w:szCs w:val="32"/>
        </w:rPr>
        <w:t>A MEDIO Y LARGO PLAZO:</w:t>
      </w:r>
    </w:p>
    <w:p w14:paraId="6B6A46CD" w14:textId="77777777" w:rsidR="00C14013" w:rsidRDefault="00C14013" w:rsidP="00C14013">
      <w:pPr>
        <w:jc w:val="both"/>
        <w:rPr>
          <w:rFonts w:ascii="Century Gothic" w:hAnsi="Century Gothic"/>
          <w:b/>
          <w:bCs/>
          <w:color w:val="FF0000"/>
          <w:sz w:val="40"/>
          <w:szCs w:val="40"/>
        </w:rPr>
      </w:pPr>
    </w:p>
    <w:p w14:paraId="672B0C39" w14:textId="77777777" w:rsidR="00C14013" w:rsidRDefault="00C14013" w:rsidP="00C14013">
      <w:pPr>
        <w:jc w:val="both"/>
        <w:rPr>
          <w:rFonts w:ascii="Century Gothic" w:hAnsi="Century Gothic"/>
          <w:b/>
          <w:bCs/>
          <w:color w:val="0070C0"/>
          <w:sz w:val="24"/>
          <w:szCs w:val="24"/>
          <w:u w:val="single"/>
        </w:rPr>
      </w:pPr>
      <w:r>
        <w:rPr>
          <w:rFonts w:ascii="Century Gothic" w:hAnsi="Century Gothic"/>
          <w:color w:val="0070C0"/>
          <w:sz w:val="24"/>
          <w:szCs w:val="24"/>
        </w:rPr>
        <w:t>*</w:t>
      </w:r>
      <w:r>
        <w:rPr>
          <w:rFonts w:ascii="Century Gothic" w:hAnsi="Century Gothic"/>
          <w:b/>
          <w:bCs/>
          <w:color w:val="0070C0"/>
          <w:sz w:val="24"/>
          <w:szCs w:val="24"/>
          <w:u w:val="single"/>
        </w:rPr>
        <w:t xml:space="preserve">FONDOS DE INVERSION: </w:t>
      </w:r>
    </w:p>
    <w:p w14:paraId="7980DA51" w14:textId="77777777" w:rsidR="00B67A20" w:rsidRDefault="00B67A20" w:rsidP="00C14013">
      <w:pPr>
        <w:jc w:val="both"/>
        <w:rPr>
          <w:rFonts w:ascii="Century Gothic" w:hAnsi="Century Gothic"/>
          <w:b/>
          <w:bCs/>
          <w:color w:val="0070C0"/>
          <w:sz w:val="24"/>
          <w:szCs w:val="24"/>
          <w:u w:val="single"/>
        </w:rPr>
      </w:pPr>
    </w:p>
    <w:p w14:paraId="5F44600B"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La Industria de los Fondos de Inversión aglutinan todo tipo de perfiles de riesgo, toda la tipología de inversores, y una amplísima gama de modalidades y estrategias. Nuestra oferta de Fondos de casi todas las Gestoras Internacionales superan los 2.800 Fondos de Inversión, con una alta variedad de formas de selección. Individuales, grupos de Fondos, con supervisión, con gestión delegada, y hasta Fondos con carteras 100% personalizadas.</w:t>
      </w:r>
    </w:p>
    <w:p w14:paraId="5D256155"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El esquema siguiente define varias de las principales opciones a profundizar de forma personalizada:</w:t>
      </w:r>
    </w:p>
    <w:p w14:paraId="7E13E3D3" w14:textId="77777777" w:rsidR="00C14013" w:rsidRDefault="00C14013" w:rsidP="00C14013">
      <w:pPr>
        <w:jc w:val="both"/>
        <w:rPr>
          <w:rFonts w:ascii="Century Gothic" w:hAnsi="Century Gothic"/>
          <w:color w:val="0070C0"/>
          <w:sz w:val="24"/>
          <w:szCs w:val="24"/>
        </w:rPr>
      </w:pPr>
      <w:r>
        <w:rPr>
          <w:noProof/>
        </w:rPr>
        <w:drawing>
          <wp:inline distT="0" distB="0" distL="0" distR="0" wp14:anchorId="3A2481CE" wp14:editId="25948A96">
            <wp:extent cx="6300470" cy="2698115"/>
            <wp:effectExtent l="0" t="0" r="5080" b="6985"/>
            <wp:docPr id="6" name="Imagen 6" descr="cid:image020.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id:image020.jpg@01D5CA2A.F548E5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300470" cy="2698115"/>
                    </a:xfrm>
                    <a:prstGeom prst="rect">
                      <a:avLst/>
                    </a:prstGeom>
                    <a:noFill/>
                    <a:ln>
                      <a:noFill/>
                    </a:ln>
                  </pic:spPr>
                </pic:pic>
              </a:graphicData>
            </a:graphic>
          </wp:inline>
        </w:drawing>
      </w:r>
    </w:p>
    <w:p w14:paraId="5C180FB6" w14:textId="77777777" w:rsidR="00B67A20" w:rsidRDefault="00B67A20" w:rsidP="00B67A20">
      <w:pPr>
        <w:jc w:val="center"/>
        <w:rPr>
          <w:rFonts w:ascii="Century Gothic" w:hAnsi="Century Gothic"/>
          <w:color w:val="0070C0"/>
          <w:sz w:val="24"/>
          <w:szCs w:val="24"/>
        </w:rPr>
      </w:pPr>
      <w:r>
        <w:rPr>
          <w:noProof/>
        </w:rPr>
        <w:drawing>
          <wp:inline distT="0" distB="0" distL="0" distR="0" wp14:anchorId="4E9572A9" wp14:editId="565C92E3">
            <wp:extent cx="4295775" cy="36576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95775" cy="3657600"/>
                    </a:xfrm>
                    <a:prstGeom prst="rect">
                      <a:avLst/>
                    </a:prstGeom>
                  </pic:spPr>
                </pic:pic>
              </a:graphicData>
            </a:graphic>
          </wp:inline>
        </w:drawing>
      </w:r>
    </w:p>
    <w:p w14:paraId="221F8EEA" w14:textId="77777777" w:rsidR="00B67A20" w:rsidRDefault="00B67A20" w:rsidP="00B67A20">
      <w:pPr>
        <w:jc w:val="center"/>
        <w:rPr>
          <w:rFonts w:ascii="Century Gothic" w:hAnsi="Century Gothic"/>
          <w:color w:val="0070C0"/>
          <w:sz w:val="24"/>
          <w:szCs w:val="24"/>
        </w:rPr>
      </w:pPr>
    </w:p>
    <w:p w14:paraId="2FBA59A9" w14:textId="77777777" w:rsidR="00B67A20" w:rsidRDefault="00B67A20" w:rsidP="00B67A20">
      <w:pPr>
        <w:jc w:val="center"/>
        <w:rPr>
          <w:rFonts w:ascii="Century Gothic" w:hAnsi="Century Gothic"/>
          <w:color w:val="0070C0"/>
          <w:sz w:val="24"/>
          <w:szCs w:val="24"/>
        </w:rPr>
      </w:pPr>
    </w:p>
    <w:p w14:paraId="1B0E7A25" w14:textId="77777777" w:rsidR="00C14013" w:rsidRDefault="00C14013" w:rsidP="00C14013">
      <w:pPr>
        <w:jc w:val="both"/>
        <w:rPr>
          <w:rFonts w:ascii="Century Gothic" w:hAnsi="Century Gothic"/>
          <w:color w:val="0070C0"/>
          <w:sz w:val="24"/>
          <w:szCs w:val="24"/>
        </w:rPr>
      </w:pPr>
    </w:p>
    <w:p w14:paraId="15709770" w14:textId="77777777" w:rsidR="00C14013" w:rsidRDefault="00C14013" w:rsidP="00C14013">
      <w:pPr>
        <w:jc w:val="both"/>
        <w:rPr>
          <w:rFonts w:ascii="Century Gothic" w:hAnsi="Century Gothic"/>
          <w:b/>
          <w:bCs/>
          <w:color w:val="0070C0"/>
          <w:sz w:val="24"/>
          <w:szCs w:val="24"/>
          <w:u w:val="single"/>
        </w:rPr>
      </w:pPr>
      <w:r>
        <w:rPr>
          <w:rFonts w:ascii="Century Gothic" w:hAnsi="Century Gothic"/>
          <w:b/>
          <w:bCs/>
          <w:color w:val="0070C0"/>
          <w:sz w:val="24"/>
          <w:szCs w:val="24"/>
          <w:u w:val="single"/>
        </w:rPr>
        <w:lastRenderedPageBreak/>
        <w:t>*RENTABILIDADES POR DIVIDENDOS:</w:t>
      </w:r>
    </w:p>
    <w:p w14:paraId="1B6E6DCB"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Aunque se trata de Renta Variable, las circunstancias de los últimos años nos obligan a recordar -como posibilidad atractiva- las altas rentabilidades por dividendo de muchos de los valores estrella de la Bolsa Española. En cartera de inversiones no especulativas y de largo plazo, pueden suponer muy interesantes opciones. Todo ello, sabiendo sus dos componentes: el dividendo y su cotización, con sus plusvalías o minusvalías latentes por variación en las cotizaciones. Por tanto, merecedora de un asesoramiento constante y</w:t>
      </w:r>
      <w:r w:rsidR="00B67A20">
        <w:rPr>
          <w:rFonts w:ascii="Century Gothic" w:hAnsi="Century Gothic"/>
          <w:color w:val="0070C0"/>
          <w:sz w:val="24"/>
          <w:szCs w:val="24"/>
        </w:rPr>
        <w:t xml:space="preserve"> de</w:t>
      </w:r>
      <w:r>
        <w:rPr>
          <w:rFonts w:ascii="Century Gothic" w:hAnsi="Century Gothic"/>
          <w:color w:val="0070C0"/>
          <w:sz w:val="24"/>
          <w:szCs w:val="24"/>
        </w:rPr>
        <w:t xml:space="preserve"> un perti</w:t>
      </w:r>
      <w:r w:rsidR="00B67A20">
        <w:rPr>
          <w:rFonts w:ascii="Century Gothic" w:hAnsi="Century Gothic"/>
          <w:color w:val="0070C0"/>
          <w:sz w:val="24"/>
          <w:szCs w:val="24"/>
        </w:rPr>
        <w:t>n</w:t>
      </w:r>
      <w:r>
        <w:rPr>
          <w:rFonts w:ascii="Century Gothic" w:hAnsi="Century Gothic"/>
          <w:color w:val="0070C0"/>
          <w:sz w:val="24"/>
          <w:szCs w:val="24"/>
        </w:rPr>
        <w:t>ente seguimiento para tomar decisiones adicionales si fueran oportunas.</w:t>
      </w:r>
    </w:p>
    <w:p w14:paraId="7676D0DF" w14:textId="77777777" w:rsidR="00C14013" w:rsidRDefault="00C14013" w:rsidP="00C14013">
      <w:pPr>
        <w:jc w:val="both"/>
        <w:rPr>
          <w:rFonts w:ascii="Century Gothic" w:hAnsi="Century Gothic"/>
          <w:color w:val="0070C0"/>
          <w:sz w:val="24"/>
          <w:szCs w:val="24"/>
        </w:rPr>
      </w:pPr>
    </w:p>
    <w:p w14:paraId="4737E9D5"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 xml:space="preserve">El siguiente cuadro nos detalla a muchos valores con rentabilidades por dividendo superiores al 5%, que suponen un alto gap </w:t>
      </w:r>
      <w:r w:rsidR="00B67A20">
        <w:rPr>
          <w:rFonts w:ascii="Century Gothic" w:hAnsi="Century Gothic"/>
          <w:color w:val="0070C0"/>
          <w:sz w:val="24"/>
          <w:szCs w:val="24"/>
        </w:rPr>
        <w:t>co</w:t>
      </w:r>
      <w:r>
        <w:rPr>
          <w:rFonts w:ascii="Century Gothic" w:hAnsi="Century Gothic"/>
          <w:color w:val="0070C0"/>
          <w:sz w:val="24"/>
          <w:szCs w:val="24"/>
        </w:rPr>
        <w:t xml:space="preserve">n relación a las retribuciones de depósitos o bonos de </w:t>
      </w:r>
      <w:proofErr w:type="spellStart"/>
      <w:r w:rsidR="00B67A20">
        <w:rPr>
          <w:rFonts w:ascii="Century Gothic" w:hAnsi="Century Gothic"/>
          <w:color w:val="0070C0"/>
          <w:sz w:val="24"/>
          <w:szCs w:val="24"/>
        </w:rPr>
        <w:t>rt</w:t>
      </w:r>
      <w:r>
        <w:rPr>
          <w:rFonts w:ascii="Century Gothic" w:hAnsi="Century Gothic"/>
          <w:color w:val="0070C0"/>
          <w:sz w:val="24"/>
          <w:szCs w:val="24"/>
        </w:rPr>
        <w:t>a</w:t>
      </w:r>
      <w:proofErr w:type="spellEnd"/>
      <w:r>
        <w:rPr>
          <w:rFonts w:ascii="Century Gothic" w:hAnsi="Century Gothic"/>
          <w:color w:val="0070C0"/>
          <w:sz w:val="24"/>
          <w:szCs w:val="24"/>
        </w:rPr>
        <w:t xml:space="preserve"> fija.</w:t>
      </w:r>
    </w:p>
    <w:p w14:paraId="47125CBB" w14:textId="77777777" w:rsidR="00B67A20" w:rsidRDefault="00B67A20" w:rsidP="00C14013">
      <w:pPr>
        <w:jc w:val="both"/>
        <w:rPr>
          <w:rFonts w:ascii="Century Gothic" w:hAnsi="Century Gothic"/>
          <w:color w:val="0070C0"/>
          <w:sz w:val="24"/>
          <w:szCs w:val="24"/>
        </w:rPr>
      </w:pPr>
    </w:p>
    <w:p w14:paraId="267C4F4C" w14:textId="77777777" w:rsidR="00C14013" w:rsidRDefault="00C14013" w:rsidP="00C14013">
      <w:pPr>
        <w:jc w:val="both"/>
        <w:rPr>
          <w:rFonts w:ascii="Century Gothic" w:hAnsi="Century Gothic"/>
          <w:color w:val="0070C0"/>
          <w:sz w:val="24"/>
          <w:szCs w:val="24"/>
        </w:rPr>
      </w:pPr>
    </w:p>
    <w:p w14:paraId="09FAD687" w14:textId="77777777" w:rsidR="00C14013" w:rsidRDefault="00C14013" w:rsidP="00C14013">
      <w:pPr>
        <w:jc w:val="both"/>
        <w:rPr>
          <w:rFonts w:ascii="Century Gothic" w:hAnsi="Century Gothic"/>
          <w:color w:val="0070C0"/>
          <w:sz w:val="24"/>
          <w:szCs w:val="24"/>
        </w:rPr>
      </w:pPr>
      <w:r>
        <w:rPr>
          <w:rFonts w:ascii="Century Gothic" w:hAnsi="Century Gothic"/>
          <w:noProof/>
          <w:color w:val="0070C0"/>
          <w:sz w:val="24"/>
          <w:szCs w:val="24"/>
        </w:rPr>
        <w:drawing>
          <wp:inline distT="0" distB="0" distL="0" distR="0" wp14:anchorId="387BF1F8" wp14:editId="05FE9954">
            <wp:extent cx="3872865" cy="6078220"/>
            <wp:effectExtent l="0" t="0" r="0" b="0"/>
            <wp:docPr id="5" name="Imagen 5" descr="cid:image023.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1578919657150" descr="cid:image023.jpg@01D5CA2A.F548E5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872865" cy="6078220"/>
                    </a:xfrm>
                    <a:prstGeom prst="rect">
                      <a:avLst/>
                    </a:prstGeom>
                    <a:noFill/>
                    <a:ln>
                      <a:noFill/>
                    </a:ln>
                  </pic:spPr>
                </pic:pic>
              </a:graphicData>
            </a:graphic>
          </wp:inline>
        </w:drawing>
      </w:r>
    </w:p>
    <w:p w14:paraId="7704AA31" w14:textId="77777777" w:rsidR="00B67A20" w:rsidRDefault="00B67A20" w:rsidP="00C14013">
      <w:pPr>
        <w:jc w:val="both"/>
        <w:rPr>
          <w:rFonts w:ascii="Century Gothic" w:hAnsi="Century Gothic"/>
          <w:color w:val="0070C0"/>
          <w:sz w:val="24"/>
          <w:szCs w:val="24"/>
        </w:rPr>
      </w:pPr>
    </w:p>
    <w:p w14:paraId="09022000" w14:textId="77777777" w:rsidR="00B67A20" w:rsidRDefault="00B67A20" w:rsidP="00C14013">
      <w:pPr>
        <w:jc w:val="both"/>
        <w:rPr>
          <w:rFonts w:ascii="Century Gothic" w:hAnsi="Century Gothic"/>
          <w:color w:val="0070C0"/>
          <w:sz w:val="24"/>
          <w:szCs w:val="24"/>
        </w:rPr>
      </w:pPr>
      <w:r>
        <w:rPr>
          <w:rFonts w:ascii="Century Gothic" w:hAnsi="Century Gothic"/>
          <w:color w:val="0070C0"/>
          <w:sz w:val="24"/>
          <w:szCs w:val="24"/>
        </w:rPr>
        <w:t>-7-</w:t>
      </w:r>
    </w:p>
    <w:p w14:paraId="31925FC4" w14:textId="77777777" w:rsidR="00C14013" w:rsidRDefault="00C14013" w:rsidP="00C14013">
      <w:pPr>
        <w:jc w:val="both"/>
        <w:rPr>
          <w:rFonts w:ascii="Century Gothic" w:hAnsi="Century Gothic"/>
          <w:color w:val="0070C0"/>
          <w:sz w:val="24"/>
          <w:szCs w:val="24"/>
        </w:rPr>
      </w:pPr>
    </w:p>
    <w:p w14:paraId="5770ABC8" w14:textId="77777777" w:rsidR="00C14013" w:rsidRDefault="00C14013" w:rsidP="00C14013">
      <w:pPr>
        <w:jc w:val="both"/>
        <w:rPr>
          <w:rFonts w:ascii="Century Gothic" w:hAnsi="Century Gothic"/>
          <w:color w:val="0070C0"/>
          <w:sz w:val="24"/>
          <w:szCs w:val="24"/>
        </w:rPr>
      </w:pPr>
    </w:p>
    <w:p w14:paraId="187AFFBC" w14:textId="77777777" w:rsidR="00C14013" w:rsidRDefault="00C14013" w:rsidP="00C14013">
      <w:pPr>
        <w:jc w:val="both"/>
        <w:rPr>
          <w:rFonts w:ascii="Century Gothic" w:hAnsi="Century Gothic"/>
          <w:b/>
          <w:bCs/>
          <w:color w:val="0070C0"/>
          <w:sz w:val="24"/>
          <w:szCs w:val="24"/>
        </w:rPr>
      </w:pPr>
      <w:r>
        <w:rPr>
          <w:rFonts w:ascii="Century Gothic" w:hAnsi="Century Gothic"/>
          <w:color w:val="0070C0"/>
          <w:sz w:val="24"/>
          <w:szCs w:val="24"/>
        </w:rPr>
        <w:lastRenderedPageBreak/>
        <w:t>*</w:t>
      </w:r>
      <w:r>
        <w:rPr>
          <w:rFonts w:ascii="Century Gothic" w:hAnsi="Century Gothic"/>
          <w:b/>
          <w:bCs/>
          <w:color w:val="0070C0"/>
          <w:sz w:val="24"/>
          <w:szCs w:val="24"/>
        </w:rPr>
        <w:t>DEPÓSITOS EN DIVISA</w:t>
      </w:r>
    </w:p>
    <w:p w14:paraId="41B18E3D"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 xml:space="preserve">Teniendo en cuenta la volatilidad de la divisa elegida con el euro, podríamos considerar esta alternativa como interesante. Insistimos, conociendo los niveles de riesgo. No obstante, hemos reflejado esta posibilidad a modo de valoración por parte </w:t>
      </w:r>
      <w:r w:rsidR="00B67A20">
        <w:rPr>
          <w:rFonts w:ascii="Century Gothic" w:hAnsi="Century Gothic"/>
          <w:color w:val="0070C0"/>
          <w:sz w:val="24"/>
          <w:szCs w:val="24"/>
        </w:rPr>
        <w:t xml:space="preserve">de un perfil de cliente con experiencia en este tipo de inversiones. Ya que reflejan altas </w:t>
      </w:r>
      <w:r>
        <w:rPr>
          <w:rFonts w:ascii="Century Gothic" w:hAnsi="Century Gothic"/>
          <w:color w:val="0070C0"/>
          <w:sz w:val="24"/>
          <w:szCs w:val="24"/>
        </w:rPr>
        <w:t>rentabilidades</w:t>
      </w:r>
      <w:r w:rsidR="00B67A20">
        <w:rPr>
          <w:rFonts w:ascii="Century Gothic" w:hAnsi="Century Gothic"/>
          <w:color w:val="0070C0"/>
          <w:sz w:val="24"/>
          <w:szCs w:val="24"/>
        </w:rPr>
        <w:t xml:space="preserve"> respecto a la </w:t>
      </w:r>
      <w:proofErr w:type="spellStart"/>
      <w:r w:rsidR="00B67A20">
        <w:rPr>
          <w:rFonts w:ascii="Century Gothic" w:hAnsi="Century Gothic"/>
          <w:color w:val="0070C0"/>
          <w:sz w:val="24"/>
          <w:szCs w:val="24"/>
        </w:rPr>
        <w:t>rta</w:t>
      </w:r>
      <w:proofErr w:type="spellEnd"/>
      <w:r w:rsidR="00B67A20">
        <w:rPr>
          <w:rFonts w:ascii="Century Gothic" w:hAnsi="Century Gothic"/>
          <w:color w:val="0070C0"/>
          <w:sz w:val="24"/>
          <w:szCs w:val="24"/>
        </w:rPr>
        <w:t xml:space="preserve"> fija, aunque es imprescindible tener que </w:t>
      </w:r>
      <w:r>
        <w:rPr>
          <w:rFonts w:ascii="Century Gothic" w:hAnsi="Century Gothic"/>
          <w:color w:val="0070C0"/>
          <w:sz w:val="24"/>
          <w:szCs w:val="24"/>
        </w:rPr>
        <w:t xml:space="preserve">contar </w:t>
      </w:r>
      <w:r w:rsidR="00CD15C2">
        <w:rPr>
          <w:rFonts w:ascii="Century Gothic" w:hAnsi="Century Gothic"/>
          <w:color w:val="0070C0"/>
          <w:sz w:val="24"/>
          <w:szCs w:val="24"/>
        </w:rPr>
        <w:t xml:space="preserve">con las posibles </w:t>
      </w:r>
      <w:r>
        <w:rPr>
          <w:rFonts w:ascii="Century Gothic" w:hAnsi="Century Gothic"/>
          <w:color w:val="0070C0"/>
          <w:sz w:val="24"/>
          <w:szCs w:val="24"/>
        </w:rPr>
        <w:t>plusvalías o minusvalías por cambio de</w:t>
      </w:r>
      <w:r w:rsidR="00CD15C2">
        <w:rPr>
          <w:rFonts w:ascii="Century Gothic" w:hAnsi="Century Gothic"/>
          <w:color w:val="0070C0"/>
          <w:sz w:val="24"/>
          <w:szCs w:val="24"/>
        </w:rPr>
        <w:t xml:space="preserve"> paridades</w:t>
      </w:r>
      <w:r>
        <w:rPr>
          <w:rFonts w:ascii="Century Gothic" w:hAnsi="Century Gothic"/>
          <w:color w:val="0070C0"/>
          <w:sz w:val="24"/>
          <w:szCs w:val="24"/>
        </w:rPr>
        <w:t>.</w:t>
      </w:r>
    </w:p>
    <w:p w14:paraId="53AA83D0" w14:textId="77777777" w:rsidR="00C14013" w:rsidRDefault="00C14013" w:rsidP="00C14013">
      <w:pPr>
        <w:jc w:val="both"/>
        <w:rPr>
          <w:rFonts w:ascii="Century Gothic" w:hAnsi="Century Gothic"/>
          <w:color w:val="0070C0"/>
          <w:sz w:val="24"/>
          <w:szCs w:val="24"/>
        </w:rPr>
      </w:pPr>
      <w:r>
        <w:rPr>
          <w:rFonts w:ascii="Century Gothic" w:hAnsi="Century Gothic"/>
          <w:color w:val="0070C0"/>
          <w:sz w:val="24"/>
          <w:szCs w:val="24"/>
        </w:rPr>
        <w:t xml:space="preserve">Ejemplo de </w:t>
      </w:r>
      <w:proofErr w:type="spellStart"/>
      <w:r>
        <w:rPr>
          <w:rFonts w:ascii="Century Gothic" w:hAnsi="Century Gothic"/>
          <w:color w:val="0070C0"/>
          <w:sz w:val="24"/>
          <w:szCs w:val="24"/>
        </w:rPr>
        <w:t>depísitos</w:t>
      </w:r>
      <w:proofErr w:type="spellEnd"/>
      <w:r>
        <w:rPr>
          <w:rFonts w:ascii="Century Gothic" w:hAnsi="Century Gothic"/>
          <w:color w:val="0070C0"/>
          <w:sz w:val="24"/>
          <w:szCs w:val="24"/>
        </w:rPr>
        <w:t xml:space="preserve"> en dólares a 6 o 12 meses:</w:t>
      </w:r>
    </w:p>
    <w:p w14:paraId="4F8FB19B" w14:textId="77777777" w:rsidR="00C14013" w:rsidRDefault="00C14013" w:rsidP="00C14013">
      <w:pPr>
        <w:jc w:val="both"/>
        <w:rPr>
          <w:rFonts w:ascii="Century Gothic" w:hAnsi="Century Gothic"/>
          <w:b/>
          <w:bCs/>
          <w:color w:val="0070C0"/>
          <w:sz w:val="24"/>
          <w:szCs w:val="24"/>
        </w:rPr>
      </w:pPr>
      <w:r>
        <w:rPr>
          <w:noProof/>
        </w:rPr>
        <w:drawing>
          <wp:inline distT="0" distB="0" distL="0" distR="0" wp14:anchorId="134CE404" wp14:editId="07D41F49">
            <wp:extent cx="6300470" cy="722630"/>
            <wp:effectExtent l="0" t="0" r="5080" b="1270"/>
            <wp:docPr id="4" name="Imagen 4" descr="cid:image021.png@01D5CA23.A546E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cid:image021.png@01D5CA23.A546E2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300470" cy="722630"/>
                    </a:xfrm>
                    <a:prstGeom prst="rect">
                      <a:avLst/>
                    </a:prstGeom>
                    <a:noFill/>
                    <a:ln>
                      <a:noFill/>
                    </a:ln>
                  </pic:spPr>
                </pic:pic>
              </a:graphicData>
            </a:graphic>
          </wp:inline>
        </w:drawing>
      </w:r>
    </w:p>
    <w:p w14:paraId="569D687D" w14:textId="77777777" w:rsidR="00C14013"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FC0DEFA" wp14:editId="55370425">
            <wp:extent cx="6300470" cy="752475"/>
            <wp:effectExtent l="0" t="0" r="5080" b="9525"/>
            <wp:docPr id="3" name="Imagen 3" descr="cid:image022.png@01D5CA23.A546E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id:image022.png@01D5CA23.A546E2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300470" cy="752475"/>
                    </a:xfrm>
                    <a:prstGeom prst="rect">
                      <a:avLst/>
                    </a:prstGeom>
                    <a:noFill/>
                    <a:ln>
                      <a:noFill/>
                    </a:ln>
                  </pic:spPr>
                </pic:pic>
              </a:graphicData>
            </a:graphic>
          </wp:inline>
        </w:drawing>
      </w:r>
    </w:p>
    <w:p w14:paraId="6FBE73CD" w14:textId="77777777" w:rsidR="00C14013"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6D6AFE" w14:textId="77777777" w:rsidR="00C14013"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definitiva, quisiéramos que este informe sirva para dar paso a una próxima reunión donde poder profundizar en los objetivos 2020 ofreciendo toda nuestra predisposición por poder brindarles un magnífico servicio. Sin duda, todo parece indicar que las referencias del corto, medio, y largo plazo están mediatizadas por la volatilidad y por las cambiantes reglas de una sucesión de coyunturas que dificultan las decisiones, hasta obligar cambios de dirección de las estrategias. </w:t>
      </w:r>
      <w:r w:rsidR="00CD15C2">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Pero e</w:t>
      </w:r>
      <w:r>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 es nuestra labor, y nuestra devoción: procurar que nuestros clientes siempre estén satisfechos, sean cuales sean las circunstancias.</w:t>
      </w:r>
      <w:r w:rsidR="00CD15C2">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Terminamos con dos apuntes que, de alguna manera subrayan la oportunidad de algunas decisiones. Los Fondos de Inversión Mixtos y otros de sectores de vanguardia, cuya expansión y futuro parecen necesarios: la eficiencia energética y medio ambiente</w:t>
      </w:r>
      <w:r w:rsidR="00CD15C2">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sin olvidar el tecnológico</w:t>
      </w:r>
      <w:r>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Cada uno de ellos se han convertido en claras recomendaciones de inversión. </w:t>
      </w:r>
      <w:r w:rsidR="00CD15C2">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 ejemplos:</w:t>
      </w:r>
    </w:p>
    <w:p w14:paraId="18AE854B" w14:textId="77777777" w:rsidR="00CD15C2" w:rsidRDefault="00CD15C2"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3C3AD3" w14:textId="77777777" w:rsidR="00C14013"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3AA6EBDD" wp14:editId="30B350C2">
            <wp:extent cx="5117128" cy="871077"/>
            <wp:effectExtent l="0" t="0" r="0" b="5715"/>
            <wp:docPr id="2" name="Imagen 2" descr="cid:image037.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id:image037.jpg@01D5CA2A.F548E5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149820" cy="876642"/>
                    </a:xfrm>
                    <a:prstGeom prst="rect">
                      <a:avLst/>
                    </a:prstGeom>
                    <a:noFill/>
                    <a:ln>
                      <a:noFill/>
                    </a:ln>
                  </pic:spPr>
                </pic:pic>
              </a:graphicData>
            </a:graphic>
          </wp:inline>
        </w:drawing>
      </w:r>
    </w:p>
    <w:p w14:paraId="73A9B3C6" w14:textId="77777777" w:rsidR="00C14013" w:rsidRDefault="00C14013" w:rsidP="00C14013">
      <w:pPr>
        <w:jc w:val="both"/>
        <w:rPr>
          <w:rFonts w:ascii="Century Gothic" w:hAnsi="Century Gothic"/>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A2DE34A" wp14:editId="7D756C4A">
            <wp:extent cx="5084856" cy="300315"/>
            <wp:effectExtent l="0" t="0" r="0" b="5080"/>
            <wp:docPr id="1" name="Imagen 1" descr="cid:image038.jpg@01D5CA2A.F548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38.jpg@01D5CA2A.F548E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613157" cy="331517"/>
                    </a:xfrm>
                    <a:prstGeom prst="rect">
                      <a:avLst/>
                    </a:prstGeom>
                    <a:noFill/>
                    <a:ln>
                      <a:noFill/>
                    </a:ln>
                  </pic:spPr>
                </pic:pic>
              </a:graphicData>
            </a:graphic>
          </wp:inline>
        </w:drawing>
      </w:r>
    </w:p>
    <w:p w14:paraId="5062AE56" w14:textId="77777777" w:rsidR="00C14013" w:rsidRDefault="00C14013" w:rsidP="00C14013">
      <w:pPr>
        <w:rPr>
          <w:rFonts w:ascii="Century Gothic" w:hAnsi="Century Gothic"/>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C6F95F" w14:textId="77777777" w:rsidR="00C14013" w:rsidRDefault="00C14013" w:rsidP="00C14013">
      <w:pP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Como no hemos llegado a la primera mitad del primer mes del nuevo ejercicio, aprovechamos por desear un Muy Feliz Año Nuevo 2020, donde nos encantaría por formar parte de sus satisfacciones.</w:t>
      </w:r>
    </w:p>
    <w:p w14:paraId="1059B371" w14:textId="77777777" w:rsidR="00C14013" w:rsidRDefault="00C14013" w:rsidP="00C14013">
      <w:pP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Cordiales saludos,</w:t>
      </w:r>
    </w:p>
    <w:p w14:paraId="5C45A854" w14:textId="77777777" w:rsidR="00CD15C2" w:rsidRDefault="00CD15C2" w:rsidP="00C14013">
      <w:pP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5773C8" w14:textId="77777777" w:rsidR="00C14013" w:rsidRDefault="00C14013" w:rsidP="00CD15C2">
      <w:pPr>
        <w:jc w:val="cente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Joaquín </w:t>
      </w:r>
      <w:proofErr w:type="spellStart"/>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Almasqué</w:t>
      </w:r>
      <w:proofErr w:type="spellEnd"/>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Yolanda </w:t>
      </w:r>
      <w:proofErr w:type="spellStart"/>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Almasqué</w:t>
      </w:r>
      <w:proofErr w:type="spellEnd"/>
    </w:p>
    <w:p w14:paraId="7101B49E" w14:textId="77777777" w:rsidR="00C14013" w:rsidRDefault="00C14013" w:rsidP="00CD15C2">
      <w:pPr>
        <w:jc w:val="cente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Presidente                   CEO </w:t>
      </w:r>
      <w:proofErr w:type="gramStart"/>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Directora</w:t>
      </w:r>
      <w:proofErr w:type="gramEnd"/>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Gral</w:t>
      </w:r>
      <w:proofErr w:type="spellEnd"/>
    </w:p>
    <w:p w14:paraId="697B0011" w14:textId="77777777" w:rsidR="00CD15C2" w:rsidRDefault="00CD15C2" w:rsidP="00CD15C2">
      <w:pPr>
        <w:jc w:val="center"/>
        <w:rPr>
          <w:rFonts w:ascii="Century Gothic" w:hAnsi="Century Gothic"/>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BE70F5" w14:textId="77777777" w:rsidR="00C14013" w:rsidRDefault="00CD15C2" w:rsidP="00CD15C2">
      <w:pPr>
        <w:jc w:val="center"/>
      </w:pPr>
      <w:r>
        <w:rPr>
          <w:noProof/>
        </w:rPr>
        <w:drawing>
          <wp:inline distT="0" distB="0" distL="0" distR="0" wp14:anchorId="1CC84DFE" wp14:editId="4B64CD88">
            <wp:extent cx="1374997" cy="42137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165" cy="430008"/>
                    </a:xfrm>
                    <a:prstGeom prst="rect">
                      <a:avLst/>
                    </a:prstGeom>
                    <a:noFill/>
                    <a:ln>
                      <a:noFill/>
                    </a:ln>
                  </pic:spPr>
                </pic:pic>
              </a:graphicData>
            </a:graphic>
          </wp:inline>
        </w:drawing>
      </w:r>
      <w:bookmarkStart w:id="0" w:name="_GoBack"/>
      <w:bookmarkEnd w:id="0"/>
    </w:p>
    <w:sectPr w:rsidR="00C14013" w:rsidSect="00C14013">
      <w:pgSz w:w="11906" w:h="16838"/>
      <w:pgMar w:top="1135"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34D9"/>
    <w:multiLevelType w:val="multilevel"/>
    <w:tmpl w:val="5EDE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13"/>
    <w:rsid w:val="00942594"/>
    <w:rsid w:val="00B67A20"/>
    <w:rsid w:val="00C14013"/>
    <w:rsid w:val="00CA1FC5"/>
    <w:rsid w:val="00CD1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D3C"/>
  <w15:chartTrackingRefBased/>
  <w15:docId w15:val="{767EAD72-F8FB-43E9-8E9A-41A7D1BA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1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4013"/>
    <w:rPr>
      <w:color w:val="0563C1"/>
      <w:u w:val="single"/>
    </w:rPr>
  </w:style>
  <w:style w:type="paragraph" w:styleId="Ttulo">
    <w:name w:val="Title"/>
    <w:basedOn w:val="Normal"/>
    <w:link w:val="TtuloCar"/>
    <w:uiPriority w:val="10"/>
    <w:qFormat/>
    <w:rsid w:val="00C14013"/>
    <w:pPr>
      <w:contextualSpacing/>
    </w:pPr>
    <w:rPr>
      <w:rFonts w:ascii="Calibri Light" w:hAnsi="Calibri Light"/>
      <w:spacing w:val="-10"/>
      <w:sz w:val="56"/>
      <w:szCs w:val="56"/>
    </w:rPr>
  </w:style>
  <w:style w:type="character" w:customStyle="1" w:styleId="TtuloCar">
    <w:name w:val="Título Car"/>
    <w:basedOn w:val="Fuentedeprrafopredeter"/>
    <w:link w:val="Ttulo"/>
    <w:uiPriority w:val="10"/>
    <w:rsid w:val="00C14013"/>
    <w:rPr>
      <w:rFonts w:ascii="Calibri Light" w:hAnsi="Calibri Light" w:cs="Calibr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3.jpg@01D5CA2A.F548E510" TargetMode="External"/><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cid:image017.jpg@01D5CA2A.F548E510" TargetMode="External"/><Relationship Id="rId25" Type="http://schemas.openxmlformats.org/officeDocument/2006/relationships/image" Target="cid:image023.jpg@01D5CA2A.F548E510" TargetMode="External"/><Relationship Id="rId33" Type="http://schemas.openxmlformats.org/officeDocument/2006/relationships/image" Target="cid:image038.jpg@01D5CA2A.F548E510"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youtu.be/E8Ag6VUyo84?list=PLUH3Ge1l40P1tuBB-fK8S9Id3INXrERpN" TargetMode="External"/><Relationship Id="rId29" Type="http://schemas.openxmlformats.org/officeDocument/2006/relationships/image" Target="cid:image022.png@01D5CA23.A546E2D0" TargetMode="External"/><Relationship Id="rId1" Type="http://schemas.openxmlformats.org/officeDocument/2006/relationships/numbering" Target="numbering.xml"/><Relationship Id="rId6" Type="http://schemas.openxmlformats.org/officeDocument/2006/relationships/image" Target="cid:image004.png@01D5CA2A.F548E510" TargetMode="External"/><Relationship Id="rId11" Type="http://schemas.openxmlformats.org/officeDocument/2006/relationships/image" Target="cid:image012.jpg@01D5CA2A.F548E510" TargetMode="External"/><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cid:image015.png@01D5CA2A.F548E510"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cid:image019.jpg@01D5CA2A.F548E510" TargetMode="External"/><Relationship Id="rId31" Type="http://schemas.openxmlformats.org/officeDocument/2006/relationships/image" Target="cid:image037.jpg@01D5CA2A.F548E510" TargetMode="External"/><Relationship Id="rId4" Type="http://schemas.openxmlformats.org/officeDocument/2006/relationships/webSettings" Target="webSettings.xml"/><Relationship Id="rId9" Type="http://schemas.openxmlformats.org/officeDocument/2006/relationships/image" Target="cid:image010.png@01D5CA2A.F548E510" TargetMode="External"/><Relationship Id="rId14" Type="http://schemas.openxmlformats.org/officeDocument/2006/relationships/image" Target="media/image6.png"/><Relationship Id="rId22" Type="http://schemas.openxmlformats.org/officeDocument/2006/relationships/image" Target="cid:image020.jpg@01D5CA2A.F548E510" TargetMode="External"/><Relationship Id="rId27" Type="http://schemas.openxmlformats.org/officeDocument/2006/relationships/image" Target="cid:image021.png@01D5CA23.A546E2D0"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Almasque Balanza</dc:creator>
  <cp:keywords/>
  <dc:description/>
  <cp:lastModifiedBy>Joaquin Almasque Balanza</cp:lastModifiedBy>
  <cp:revision>1</cp:revision>
  <dcterms:created xsi:type="dcterms:W3CDTF">2020-01-14T11:35:00Z</dcterms:created>
  <dcterms:modified xsi:type="dcterms:W3CDTF">2020-01-14T12:20:00Z</dcterms:modified>
</cp:coreProperties>
</file>